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27E82347" w14:textId="77777777" w:rsidR="00657AE9"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657AE9" w:rsidRPr="00657AE9">
        <w:rPr>
          <w:rFonts w:ascii="Times New Roman" w:hAnsi="Times New Roman"/>
          <w:spacing w:val="-2"/>
          <w:sz w:val="24"/>
          <w:szCs w:val="24"/>
        </w:rPr>
        <w:t>Market policy Study for Fishery and Aquaculture products</w:t>
      </w:r>
    </w:p>
    <w:p w14:paraId="3B0BBDA7" w14:textId="7D625313"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657AE9">
        <w:rPr>
          <w:rFonts w:ascii="Times New Roman" w:hAnsi="Times New Roman"/>
          <w:spacing w:val="-2"/>
          <w:sz w:val="24"/>
          <w:szCs w:val="24"/>
        </w:rPr>
        <w:t>22</w:t>
      </w:r>
      <w:r w:rsidR="00E6395A" w:rsidRPr="00134CCE">
        <w:rPr>
          <w:rFonts w:ascii="Times New Roman" w:hAnsi="Times New Roman"/>
          <w:spacing w:val="-2"/>
          <w:sz w:val="24"/>
          <w:szCs w:val="24"/>
        </w:rPr>
        <w:t>-</w:t>
      </w:r>
      <w:r w:rsidR="00657AE9">
        <w:rPr>
          <w:rFonts w:ascii="Times New Roman" w:hAnsi="Times New Roman"/>
          <w:spacing w:val="-2"/>
          <w:sz w:val="24"/>
          <w:szCs w:val="24"/>
        </w:rPr>
        <w:t>3.1.2</w:t>
      </w:r>
    </w:p>
    <w:p w14:paraId="4C77877C" w14:textId="77777777" w:rsidR="009830E4" w:rsidRPr="00134CCE" w:rsidRDefault="009830E4">
      <w:pPr>
        <w:suppressAutoHyphens/>
        <w:rPr>
          <w:rFonts w:ascii="Times New Roman" w:hAnsi="Times New Roman"/>
          <w:spacing w:val="-2"/>
          <w:sz w:val="24"/>
          <w:szCs w:val="24"/>
        </w:rPr>
      </w:pPr>
    </w:p>
    <w:p w14:paraId="20957564" w14:textId="5A44729A"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17B47" w:rsidRPr="00217B47">
        <w:rPr>
          <w:rFonts w:ascii="Times New Roman" w:hAnsi="Times New Roman"/>
          <w:spacing w:val="-2"/>
          <w:sz w:val="24"/>
          <w:szCs w:val="24"/>
        </w:rPr>
        <w:t>Preparation of the Strategy for the development of Agriculture and Rural areas 2022-2028</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07263745" w14:textId="60231487" w:rsidR="00657AE9" w:rsidRDefault="00217B47" w:rsidP="00217B47">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00657AE9" w:rsidRPr="00657AE9">
        <w:rPr>
          <w:rFonts w:ascii="Times New Roman" w:hAnsi="Times New Roman"/>
          <w:spacing w:val="-2"/>
          <w:sz w:val="24"/>
          <w:szCs w:val="24"/>
        </w:rPr>
        <w:t xml:space="preserve">is to prepare a detailed market study for fishery and aquaculture. </w:t>
      </w:r>
    </w:p>
    <w:p w14:paraId="4E7FAD6F" w14:textId="4D8CE2BD" w:rsidR="00217B47" w:rsidRDefault="00657AE9" w:rsidP="00217B47">
      <w:pPr>
        <w:suppressAutoHyphens/>
        <w:jc w:val="both"/>
        <w:rPr>
          <w:rFonts w:ascii="Times New Roman" w:hAnsi="Times New Roman"/>
          <w:spacing w:val="-2"/>
          <w:sz w:val="24"/>
          <w:szCs w:val="24"/>
        </w:rPr>
      </w:pPr>
      <w:r w:rsidRPr="00657AE9">
        <w:rPr>
          <w:rFonts w:ascii="Times New Roman" w:hAnsi="Times New Roman"/>
          <w:spacing w:val="-2"/>
          <w:sz w:val="24"/>
          <w:szCs w:val="24"/>
        </w:rPr>
        <w:t>The consultant outputs are required to include the following:</w:t>
      </w:r>
    </w:p>
    <w:p w14:paraId="184E429C" w14:textId="77777777" w:rsidR="00657AE9" w:rsidRPr="00657AE9" w:rsidRDefault="00657AE9" w:rsidP="00657AE9">
      <w:pPr>
        <w:numPr>
          <w:ilvl w:val="0"/>
          <w:numId w:val="16"/>
        </w:numPr>
        <w:ind w:left="426" w:hanging="426"/>
        <w:jc w:val="both"/>
        <w:rPr>
          <w:rFonts w:ascii="Times New Roman" w:hAnsi="Times New Roman"/>
          <w:sz w:val="24"/>
          <w:szCs w:val="24"/>
        </w:rPr>
      </w:pPr>
      <w:r w:rsidRPr="00657AE9">
        <w:rPr>
          <w:rFonts w:ascii="Times New Roman" w:hAnsi="Times New Roman"/>
          <w:sz w:val="24"/>
          <w:szCs w:val="24"/>
        </w:rPr>
        <w:t>Work plan and methodology</w:t>
      </w:r>
    </w:p>
    <w:p w14:paraId="6C181C10" w14:textId="77777777" w:rsidR="00657AE9" w:rsidRPr="00657AE9" w:rsidRDefault="00657AE9" w:rsidP="00657AE9">
      <w:pPr>
        <w:pStyle w:val="ListParagraph"/>
        <w:widowControl w:val="0"/>
        <w:numPr>
          <w:ilvl w:val="0"/>
          <w:numId w:val="16"/>
        </w:numPr>
        <w:autoSpaceDE w:val="0"/>
        <w:autoSpaceDN w:val="0"/>
        <w:adjustRightInd w:val="0"/>
        <w:ind w:left="426" w:hanging="426"/>
        <w:jc w:val="both"/>
        <w:rPr>
          <w:rFonts w:ascii="Times New Roman" w:hAnsi="Times New Roman"/>
          <w:sz w:val="24"/>
          <w:szCs w:val="24"/>
        </w:rPr>
      </w:pPr>
      <w:r w:rsidRPr="00657AE9">
        <w:rPr>
          <w:rFonts w:ascii="Times New Roman" w:hAnsi="Times New Roman"/>
          <w:sz w:val="24"/>
          <w:szCs w:val="24"/>
        </w:rPr>
        <w:t xml:space="preserve">Overview and description of the current situation in fisheries and aquaculture, </w:t>
      </w:r>
      <w:r w:rsidRPr="00657AE9">
        <w:rPr>
          <w:rFonts w:ascii="Times New Roman" w:hAnsi="Times New Roman"/>
          <w:sz w:val="24"/>
          <w:szCs w:val="24"/>
        </w:rPr>
        <w:br/>
        <w:t xml:space="preserve">with a comparison to the last 5 years </w:t>
      </w:r>
    </w:p>
    <w:p w14:paraId="5B3300F6" w14:textId="77777777" w:rsidR="00657AE9" w:rsidRPr="00657AE9" w:rsidRDefault="00657AE9" w:rsidP="00657AE9">
      <w:pPr>
        <w:pStyle w:val="ListParagraph"/>
        <w:widowControl w:val="0"/>
        <w:numPr>
          <w:ilvl w:val="0"/>
          <w:numId w:val="16"/>
        </w:numPr>
        <w:autoSpaceDE w:val="0"/>
        <w:autoSpaceDN w:val="0"/>
        <w:adjustRightInd w:val="0"/>
        <w:spacing w:after="160" w:line="259" w:lineRule="auto"/>
        <w:ind w:left="426" w:hanging="426"/>
        <w:rPr>
          <w:rFonts w:ascii="Times New Roman" w:hAnsi="Times New Roman"/>
          <w:sz w:val="24"/>
          <w:szCs w:val="24"/>
        </w:rPr>
      </w:pPr>
      <w:r w:rsidRPr="00657AE9">
        <w:rPr>
          <w:rFonts w:ascii="Times New Roman" w:hAnsi="Times New Roman"/>
          <w:sz w:val="24"/>
          <w:szCs w:val="24"/>
        </w:rPr>
        <w:t>Regulatory framework analysis</w:t>
      </w:r>
    </w:p>
    <w:p w14:paraId="31E2D6C9" w14:textId="77777777" w:rsidR="00657AE9" w:rsidRPr="00657AE9" w:rsidRDefault="00657AE9" w:rsidP="00657AE9">
      <w:pPr>
        <w:pStyle w:val="ListParagraph"/>
        <w:widowControl w:val="0"/>
        <w:numPr>
          <w:ilvl w:val="0"/>
          <w:numId w:val="16"/>
        </w:numPr>
        <w:autoSpaceDE w:val="0"/>
        <w:autoSpaceDN w:val="0"/>
        <w:adjustRightInd w:val="0"/>
        <w:spacing w:after="160" w:line="259" w:lineRule="auto"/>
        <w:ind w:left="426" w:hanging="426"/>
        <w:rPr>
          <w:rFonts w:ascii="Times New Roman" w:hAnsi="Times New Roman"/>
          <w:sz w:val="24"/>
          <w:szCs w:val="24"/>
        </w:rPr>
      </w:pPr>
      <w:r w:rsidRPr="00657AE9">
        <w:rPr>
          <w:rFonts w:ascii="Times New Roman" w:hAnsi="Times New Roman"/>
          <w:sz w:val="24"/>
          <w:szCs w:val="24"/>
        </w:rPr>
        <w:t xml:space="preserve">SWOT analysis </w:t>
      </w:r>
    </w:p>
    <w:p w14:paraId="6F8B0009" w14:textId="77777777" w:rsidR="00657AE9" w:rsidRPr="00657AE9" w:rsidRDefault="00657AE9" w:rsidP="00657AE9">
      <w:pPr>
        <w:pStyle w:val="ListParagraph"/>
        <w:widowControl w:val="0"/>
        <w:numPr>
          <w:ilvl w:val="0"/>
          <w:numId w:val="16"/>
        </w:numPr>
        <w:autoSpaceDE w:val="0"/>
        <w:autoSpaceDN w:val="0"/>
        <w:adjustRightInd w:val="0"/>
        <w:spacing w:after="160" w:line="259" w:lineRule="auto"/>
        <w:ind w:left="426" w:hanging="426"/>
        <w:rPr>
          <w:rFonts w:ascii="Times New Roman" w:hAnsi="Times New Roman"/>
          <w:sz w:val="24"/>
          <w:szCs w:val="24"/>
        </w:rPr>
      </w:pPr>
      <w:r w:rsidRPr="00657AE9">
        <w:rPr>
          <w:rFonts w:ascii="Times New Roman" w:hAnsi="Times New Roman"/>
          <w:sz w:val="24"/>
          <w:szCs w:val="24"/>
        </w:rPr>
        <w:t>Analysis of commercial species in fisheries and aquaculture</w:t>
      </w:r>
    </w:p>
    <w:p w14:paraId="3861886B" w14:textId="77777777" w:rsidR="00657AE9" w:rsidRPr="00657AE9" w:rsidRDefault="00657AE9" w:rsidP="00657AE9">
      <w:pPr>
        <w:pStyle w:val="ListParagraph"/>
        <w:widowControl w:val="0"/>
        <w:numPr>
          <w:ilvl w:val="0"/>
          <w:numId w:val="16"/>
        </w:numPr>
        <w:autoSpaceDE w:val="0"/>
        <w:autoSpaceDN w:val="0"/>
        <w:adjustRightInd w:val="0"/>
        <w:spacing w:after="160" w:line="259" w:lineRule="auto"/>
        <w:ind w:left="426" w:hanging="426"/>
        <w:rPr>
          <w:rFonts w:ascii="Times New Roman" w:hAnsi="Times New Roman"/>
          <w:sz w:val="24"/>
          <w:szCs w:val="24"/>
        </w:rPr>
      </w:pPr>
      <w:r w:rsidRPr="00657AE9">
        <w:rPr>
          <w:rFonts w:ascii="Times New Roman" w:hAnsi="Times New Roman"/>
          <w:sz w:val="24"/>
          <w:szCs w:val="24"/>
        </w:rPr>
        <w:t>Financial market analysis</w:t>
      </w:r>
    </w:p>
    <w:p w14:paraId="484C9881" w14:textId="77777777" w:rsidR="00657AE9" w:rsidRPr="00657AE9" w:rsidRDefault="00657AE9" w:rsidP="00657AE9">
      <w:pPr>
        <w:pStyle w:val="ListParagraph"/>
        <w:numPr>
          <w:ilvl w:val="0"/>
          <w:numId w:val="16"/>
        </w:numPr>
        <w:spacing w:after="160" w:line="259" w:lineRule="auto"/>
        <w:ind w:left="426" w:hanging="426"/>
        <w:jc w:val="both"/>
        <w:rPr>
          <w:rFonts w:ascii="Times New Roman" w:hAnsi="Times New Roman"/>
          <w:sz w:val="24"/>
          <w:szCs w:val="24"/>
        </w:rPr>
      </w:pPr>
      <w:r w:rsidRPr="00657AE9">
        <w:rPr>
          <w:rFonts w:ascii="Times New Roman" w:hAnsi="Times New Roman"/>
          <w:sz w:val="24"/>
          <w:szCs w:val="24"/>
        </w:rPr>
        <w:t>Export/Import</w:t>
      </w:r>
    </w:p>
    <w:p w14:paraId="0CF9398B" w14:textId="77777777" w:rsidR="00657AE9" w:rsidRPr="00657AE9" w:rsidRDefault="00657AE9" w:rsidP="00657AE9">
      <w:pPr>
        <w:pStyle w:val="ListParagraph"/>
        <w:widowControl w:val="0"/>
        <w:numPr>
          <w:ilvl w:val="0"/>
          <w:numId w:val="16"/>
        </w:numPr>
        <w:autoSpaceDE w:val="0"/>
        <w:autoSpaceDN w:val="0"/>
        <w:adjustRightInd w:val="0"/>
        <w:spacing w:after="160" w:line="259" w:lineRule="auto"/>
        <w:ind w:left="426" w:hanging="426"/>
        <w:rPr>
          <w:rFonts w:ascii="Times New Roman" w:hAnsi="Times New Roman"/>
          <w:sz w:val="24"/>
          <w:szCs w:val="24"/>
        </w:rPr>
      </w:pPr>
      <w:r w:rsidRPr="00657AE9">
        <w:rPr>
          <w:rFonts w:ascii="Times New Roman" w:hAnsi="Times New Roman"/>
          <w:sz w:val="24"/>
          <w:szCs w:val="24"/>
        </w:rPr>
        <w:t>Processing</w:t>
      </w:r>
    </w:p>
    <w:p w14:paraId="28DBEF39" w14:textId="77777777" w:rsidR="00657AE9" w:rsidRPr="00657AE9" w:rsidRDefault="00657AE9" w:rsidP="00657AE9">
      <w:pPr>
        <w:pStyle w:val="ListParagraph"/>
        <w:widowControl w:val="0"/>
        <w:numPr>
          <w:ilvl w:val="0"/>
          <w:numId w:val="16"/>
        </w:numPr>
        <w:autoSpaceDE w:val="0"/>
        <w:autoSpaceDN w:val="0"/>
        <w:adjustRightInd w:val="0"/>
        <w:spacing w:after="160" w:line="259" w:lineRule="auto"/>
        <w:ind w:left="426" w:hanging="426"/>
        <w:rPr>
          <w:rFonts w:ascii="Times New Roman" w:hAnsi="Times New Roman"/>
          <w:sz w:val="24"/>
          <w:szCs w:val="24"/>
        </w:rPr>
      </w:pPr>
      <w:r w:rsidRPr="00657AE9">
        <w:rPr>
          <w:rFonts w:ascii="Times New Roman" w:hAnsi="Times New Roman"/>
          <w:sz w:val="24"/>
          <w:szCs w:val="24"/>
        </w:rPr>
        <w:t>Sales, market, consumption</w:t>
      </w:r>
    </w:p>
    <w:p w14:paraId="30E33AA9" w14:textId="3B268CDB" w:rsidR="00657AE9" w:rsidRPr="00657AE9" w:rsidRDefault="00657AE9" w:rsidP="00657AE9">
      <w:pPr>
        <w:pStyle w:val="ListParagraph"/>
        <w:widowControl w:val="0"/>
        <w:numPr>
          <w:ilvl w:val="0"/>
          <w:numId w:val="16"/>
        </w:numPr>
        <w:autoSpaceDE w:val="0"/>
        <w:autoSpaceDN w:val="0"/>
        <w:adjustRightInd w:val="0"/>
        <w:spacing w:after="160" w:line="259" w:lineRule="auto"/>
        <w:ind w:left="426" w:hanging="426"/>
        <w:rPr>
          <w:rFonts w:ascii="Times New Roman" w:hAnsi="Times New Roman"/>
          <w:sz w:val="24"/>
          <w:szCs w:val="24"/>
        </w:rPr>
      </w:pPr>
      <w:r w:rsidRPr="00657AE9">
        <w:rPr>
          <w:rFonts w:ascii="Times New Roman" w:hAnsi="Times New Roman"/>
          <w:sz w:val="24"/>
          <w:szCs w:val="24"/>
        </w:rPr>
        <w:t>Conclusions and recommendations</w:t>
      </w:r>
    </w:p>
    <w:p w14:paraId="3CBEDBB6" w14:textId="1AFBE1CA" w:rsidR="00FA361A" w:rsidRDefault="00657AE9" w:rsidP="00875353">
      <w:pPr>
        <w:suppressAutoHyphens/>
        <w:jc w:val="both"/>
        <w:rPr>
          <w:rFonts w:ascii="Times New Roman" w:hAnsi="Times New Roman"/>
          <w:spacing w:val="-2"/>
          <w:sz w:val="24"/>
          <w:szCs w:val="24"/>
        </w:rPr>
      </w:pPr>
      <w:r w:rsidRPr="00657AE9">
        <w:rPr>
          <w:rFonts w:ascii="Times New Roman" w:hAnsi="Times New Roman"/>
          <w:spacing w:val="-2"/>
          <w:sz w:val="24"/>
        </w:rPr>
        <w:t>The assignment will have a duration of the period of 5 (five) months and the required level of inputs is estimated at a total of 50 work/days, working from home and on site, depending of agreement with the beneficiary (at least 30 days of the assignment should be done on site). The video conference can replace opening meeting and/or consultations due to ongoing COVID-19 pandemic.</w:t>
      </w:r>
      <w:r>
        <w:rPr>
          <w:rFonts w:ascii="Times New Roman" w:hAnsi="Times New Roman"/>
          <w:spacing w:val="-2"/>
          <w:sz w:val="24"/>
        </w:rPr>
        <w:t xml:space="preserve"> </w:t>
      </w:r>
    </w:p>
    <w:p w14:paraId="2469DD4E" w14:textId="4C11B868" w:rsidR="001C3893"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lastRenderedPageBreak/>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5EDC4632" w14:textId="77777777" w:rsidR="00657AE9" w:rsidRPr="00D12616" w:rsidRDefault="00657AE9" w:rsidP="00916E24">
      <w:pPr>
        <w:suppressAutoHyphens/>
        <w:jc w:val="both"/>
        <w:rPr>
          <w:rFonts w:ascii="Times New Roman" w:hAnsi="Times New Roman"/>
          <w:spacing w:val="-2"/>
          <w:sz w:val="24"/>
          <w:szCs w:val="24"/>
        </w:rPr>
      </w:pP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576EDCC6" w14:textId="77777777" w:rsidR="00657AE9" w:rsidRPr="00657AE9" w:rsidRDefault="00657AE9" w:rsidP="00657AE9">
      <w:pPr>
        <w:suppressAutoHyphens/>
        <w:jc w:val="both"/>
        <w:rPr>
          <w:rFonts w:ascii="Times New Roman" w:hAnsi="Times New Roman"/>
          <w:color w:val="000000" w:themeColor="text1"/>
          <w:sz w:val="24"/>
          <w:szCs w:val="24"/>
          <w:u w:val="single"/>
        </w:rPr>
      </w:pPr>
      <w:r w:rsidRPr="00657AE9">
        <w:rPr>
          <w:rFonts w:ascii="Times New Roman" w:hAnsi="Times New Roman"/>
          <w:color w:val="000000" w:themeColor="text1"/>
          <w:sz w:val="24"/>
          <w:szCs w:val="24"/>
          <w:u w:val="single"/>
        </w:rPr>
        <w:t>Essential (mandatory) qualifications</w:t>
      </w:r>
    </w:p>
    <w:p w14:paraId="53188FAA" w14:textId="77777777" w:rsidR="00657AE9" w:rsidRPr="00657AE9" w:rsidRDefault="00657AE9" w:rsidP="00657AE9">
      <w:pPr>
        <w:numPr>
          <w:ilvl w:val="0"/>
          <w:numId w:val="6"/>
        </w:numPr>
        <w:suppressAutoHyphens/>
        <w:ind w:left="426" w:hanging="426"/>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 xml:space="preserve">University degree in Finance/Economic sciences statistics, analytical research, fishery, aquaculture. In absence of such a degree from the requested fields, the expert will have an equivalent professional experience of minimum 15 years in the field of analytical research in fishery and/or aquaculture, </w:t>
      </w:r>
    </w:p>
    <w:p w14:paraId="704C50A2" w14:textId="77777777" w:rsidR="00657AE9" w:rsidRPr="00657AE9" w:rsidRDefault="00657AE9" w:rsidP="00657AE9">
      <w:pPr>
        <w:numPr>
          <w:ilvl w:val="0"/>
          <w:numId w:val="6"/>
        </w:numPr>
        <w:suppressAutoHyphens/>
        <w:ind w:left="426" w:hanging="426"/>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At least 10 years of professional experience in the conducting market research,</w:t>
      </w:r>
    </w:p>
    <w:p w14:paraId="6ED23C0D" w14:textId="0B1AAE24" w:rsidR="00657AE9" w:rsidRDefault="00657AE9" w:rsidP="00657AE9">
      <w:pPr>
        <w:numPr>
          <w:ilvl w:val="0"/>
          <w:numId w:val="6"/>
        </w:numPr>
        <w:suppressAutoHyphens/>
        <w:ind w:left="426" w:hanging="426"/>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Excellent command of the English language, and strong oral and written communication</w:t>
      </w:r>
    </w:p>
    <w:p w14:paraId="19975048" w14:textId="77777777" w:rsidR="00657AE9" w:rsidRPr="00657AE9" w:rsidRDefault="00657AE9" w:rsidP="00657AE9">
      <w:pPr>
        <w:suppressAutoHyphens/>
        <w:ind w:left="426"/>
        <w:jc w:val="both"/>
        <w:rPr>
          <w:rFonts w:ascii="Times New Roman" w:hAnsi="Times New Roman"/>
          <w:color w:val="000000" w:themeColor="text1"/>
          <w:sz w:val="24"/>
          <w:szCs w:val="24"/>
        </w:rPr>
      </w:pPr>
    </w:p>
    <w:p w14:paraId="1256B21E" w14:textId="77777777" w:rsidR="00657AE9" w:rsidRPr="00657AE9" w:rsidRDefault="00657AE9" w:rsidP="00657AE9">
      <w:pPr>
        <w:suppressAutoHyphens/>
        <w:jc w:val="both"/>
        <w:rPr>
          <w:rFonts w:ascii="Times New Roman" w:hAnsi="Times New Roman"/>
          <w:color w:val="000000" w:themeColor="text1"/>
          <w:sz w:val="24"/>
          <w:szCs w:val="24"/>
          <w:u w:val="single"/>
        </w:rPr>
      </w:pPr>
      <w:r w:rsidRPr="00657AE9">
        <w:rPr>
          <w:rFonts w:ascii="Times New Roman" w:hAnsi="Times New Roman"/>
          <w:color w:val="000000" w:themeColor="text1"/>
          <w:sz w:val="24"/>
          <w:szCs w:val="24"/>
          <w:u w:val="single"/>
        </w:rPr>
        <w:t xml:space="preserve">Evaluation criteria: </w:t>
      </w:r>
    </w:p>
    <w:tbl>
      <w:tblPr>
        <w:tblW w:w="8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512"/>
      </w:tblGrid>
      <w:tr w:rsidR="00657AE9" w:rsidRPr="00657AE9" w14:paraId="3C658B8E" w14:textId="77777777" w:rsidTr="00657AE9">
        <w:tc>
          <w:tcPr>
            <w:tcW w:w="6840" w:type="dxa"/>
            <w:shd w:val="clear" w:color="auto" w:fill="D9D9D9"/>
          </w:tcPr>
          <w:p w14:paraId="22FBD1E3" w14:textId="77777777" w:rsidR="00657AE9" w:rsidRPr="00657AE9" w:rsidRDefault="00657AE9" w:rsidP="00657AE9">
            <w:pPr>
              <w:suppressAutoHyphens/>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Qualifications</w:t>
            </w:r>
          </w:p>
        </w:tc>
        <w:tc>
          <w:tcPr>
            <w:tcW w:w="1512" w:type="dxa"/>
            <w:shd w:val="clear" w:color="auto" w:fill="D9D9D9"/>
          </w:tcPr>
          <w:p w14:paraId="31AFB2A7" w14:textId="77777777" w:rsidR="00657AE9" w:rsidRPr="00657AE9" w:rsidRDefault="00657AE9" w:rsidP="00657AE9">
            <w:pPr>
              <w:suppressAutoHyphens/>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Points (max)</w:t>
            </w:r>
          </w:p>
        </w:tc>
      </w:tr>
      <w:tr w:rsidR="00657AE9" w:rsidRPr="00657AE9" w14:paraId="47B0E2FA" w14:textId="77777777" w:rsidTr="00657AE9">
        <w:tc>
          <w:tcPr>
            <w:tcW w:w="6840" w:type="dxa"/>
          </w:tcPr>
          <w:p w14:paraId="1EA7AD17" w14:textId="77777777" w:rsidR="00657AE9" w:rsidRPr="00657AE9" w:rsidRDefault="00657AE9" w:rsidP="00657AE9">
            <w:pPr>
              <w:suppressAutoHyphens/>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Relevant experience in conducting research and market analysis in area of fishery and aquaculture</w:t>
            </w:r>
          </w:p>
        </w:tc>
        <w:tc>
          <w:tcPr>
            <w:tcW w:w="1512" w:type="dxa"/>
          </w:tcPr>
          <w:p w14:paraId="21A8116A" w14:textId="77777777" w:rsidR="00657AE9" w:rsidRPr="00657AE9" w:rsidRDefault="00657AE9" w:rsidP="00657AE9">
            <w:pPr>
              <w:suppressAutoHyphens/>
              <w:jc w:val="center"/>
              <w:rPr>
                <w:rFonts w:ascii="Times New Roman" w:hAnsi="Times New Roman"/>
                <w:color w:val="000000" w:themeColor="text1"/>
                <w:sz w:val="24"/>
                <w:szCs w:val="24"/>
              </w:rPr>
            </w:pPr>
            <w:r w:rsidRPr="00657AE9">
              <w:rPr>
                <w:rFonts w:ascii="Times New Roman" w:hAnsi="Times New Roman"/>
                <w:color w:val="000000" w:themeColor="text1"/>
                <w:sz w:val="24"/>
                <w:szCs w:val="24"/>
              </w:rPr>
              <w:t>40</w:t>
            </w:r>
          </w:p>
        </w:tc>
      </w:tr>
      <w:tr w:rsidR="00657AE9" w:rsidRPr="00657AE9" w14:paraId="5AF3B11A" w14:textId="77777777" w:rsidTr="00657AE9">
        <w:trPr>
          <w:trHeight w:val="550"/>
        </w:trPr>
        <w:tc>
          <w:tcPr>
            <w:tcW w:w="6840" w:type="dxa"/>
          </w:tcPr>
          <w:p w14:paraId="680077FF" w14:textId="77777777" w:rsidR="00657AE9" w:rsidRPr="00657AE9" w:rsidRDefault="00657AE9" w:rsidP="00657AE9">
            <w:pPr>
              <w:suppressAutoHyphens/>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Demonstrated experience with qualitative and quantitative data collection techniques</w:t>
            </w:r>
          </w:p>
        </w:tc>
        <w:tc>
          <w:tcPr>
            <w:tcW w:w="1512" w:type="dxa"/>
          </w:tcPr>
          <w:p w14:paraId="7508500B" w14:textId="77777777" w:rsidR="00657AE9" w:rsidRPr="00657AE9" w:rsidRDefault="00657AE9" w:rsidP="00657AE9">
            <w:pPr>
              <w:suppressAutoHyphens/>
              <w:jc w:val="center"/>
              <w:rPr>
                <w:rFonts w:ascii="Times New Roman" w:hAnsi="Times New Roman"/>
                <w:color w:val="000000" w:themeColor="text1"/>
                <w:sz w:val="24"/>
                <w:szCs w:val="24"/>
              </w:rPr>
            </w:pPr>
            <w:r w:rsidRPr="00657AE9">
              <w:rPr>
                <w:rFonts w:ascii="Times New Roman" w:hAnsi="Times New Roman"/>
                <w:color w:val="000000" w:themeColor="text1"/>
                <w:sz w:val="24"/>
                <w:szCs w:val="24"/>
              </w:rPr>
              <w:t>30</w:t>
            </w:r>
          </w:p>
        </w:tc>
      </w:tr>
      <w:tr w:rsidR="00657AE9" w:rsidRPr="00657AE9" w14:paraId="2151BEB3" w14:textId="77777777" w:rsidTr="00657AE9">
        <w:tc>
          <w:tcPr>
            <w:tcW w:w="6840" w:type="dxa"/>
          </w:tcPr>
          <w:p w14:paraId="51DE1D11" w14:textId="77777777" w:rsidR="00657AE9" w:rsidRPr="00657AE9" w:rsidRDefault="00657AE9" w:rsidP="00657AE9">
            <w:pPr>
              <w:suppressAutoHyphens/>
              <w:jc w:val="both"/>
              <w:rPr>
                <w:rFonts w:ascii="Times New Roman" w:hAnsi="Times New Roman"/>
                <w:color w:val="000000" w:themeColor="text1"/>
                <w:sz w:val="24"/>
                <w:szCs w:val="24"/>
              </w:rPr>
            </w:pPr>
            <w:r w:rsidRPr="00657AE9">
              <w:rPr>
                <w:rFonts w:ascii="Times New Roman" w:hAnsi="Times New Roman"/>
                <w:color w:val="000000" w:themeColor="text1"/>
                <w:sz w:val="24"/>
                <w:szCs w:val="24"/>
              </w:rPr>
              <w:t>Experience in the area of EU legislative in the field of fishery and CFP and legal bases for the implementation of pre-accession measures.</w:t>
            </w:r>
          </w:p>
        </w:tc>
        <w:tc>
          <w:tcPr>
            <w:tcW w:w="1512" w:type="dxa"/>
          </w:tcPr>
          <w:p w14:paraId="510E0139" w14:textId="77777777" w:rsidR="00657AE9" w:rsidRPr="00657AE9" w:rsidRDefault="00657AE9" w:rsidP="00657AE9">
            <w:pPr>
              <w:suppressAutoHyphens/>
              <w:jc w:val="center"/>
              <w:rPr>
                <w:rFonts w:ascii="Times New Roman" w:hAnsi="Times New Roman"/>
                <w:color w:val="000000" w:themeColor="text1"/>
                <w:sz w:val="24"/>
                <w:szCs w:val="24"/>
              </w:rPr>
            </w:pPr>
            <w:r w:rsidRPr="00657AE9">
              <w:rPr>
                <w:rFonts w:ascii="Times New Roman" w:hAnsi="Times New Roman"/>
                <w:color w:val="000000" w:themeColor="text1"/>
                <w:sz w:val="24"/>
                <w:szCs w:val="24"/>
              </w:rPr>
              <w:t>30</w:t>
            </w:r>
          </w:p>
        </w:tc>
      </w:tr>
      <w:tr w:rsidR="00657AE9" w:rsidRPr="00657AE9" w14:paraId="750B7BA0" w14:textId="77777777" w:rsidTr="00657AE9">
        <w:tc>
          <w:tcPr>
            <w:tcW w:w="6840" w:type="dxa"/>
          </w:tcPr>
          <w:p w14:paraId="580DAE72" w14:textId="77777777" w:rsidR="00657AE9" w:rsidRPr="00657AE9" w:rsidRDefault="00657AE9" w:rsidP="00657AE9">
            <w:pPr>
              <w:suppressAutoHyphens/>
              <w:jc w:val="both"/>
              <w:rPr>
                <w:rFonts w:ascii="Times New Roman" w:hAnsi="Times New Roman"/>
                <w:iCs/>
                <w:color w:val="000000" w:themeColor="text1"/>
                <w:sz w:val="24"/>
                <w:szCs w:val="24"/>
              </w:rPr>
            </w:pPr>
            <w:r w:rsidRPr="00657AE9">
              <w:rPr>
                <w:rFonts w:ascii="Times New Roman" w:hAnsi="Times New Roman"/>
                <w:iCs/>
                <w:color w:val="000000" w:themeColor="text1"/>
                <w:sz w:val="24"/>
                <w:szCs w:val="24"/>
              </w:rPr>
              <w:t>Total</w:t>
            </w:r>
          </w:p>
        </w:tc>
        <w:tc>
          <w:tcPr>
            <w:tcW w:w="1512" w:type="dxa"/>
          </w:tcPr>
          <w:p w14:paraId="1FEA27F4" w14:textId="77777777" w:rsidR="00657AE9" w:rsidRPr="00657AE9" w:rsidRDefault="00657AE9" w:rsidP="00657AE9">
            <w:pPr>
              <w:suppressAutoHyphens/>
              <w:jc w:val="center"/>
              <w:rPr>
                <w:rFonts w:ascii="Times New Roman" w:hAnsi="Times New Roman"/>
                <w:color w:val="000000" w:themeColor="text1"/>
                <w:sz w:val="24"/>
                <w:szCs w:val="24"/>
              </w:rPr>
            </w:pPr>
            <w:r w:rsidRPr="00657AE9">
              <w:rPr>
                <w:rFonts w:ascii="Times New Roman" w:hAnsi="Times New Roman"/>
                <w:color w:val="000000" w:themeColor="text1"/>
                <w:sz w:val="24"/>
                <w:szCs w:val="24"/>
              </w:rPr>
              <w:t>100</w:t>
            </w:r>
          </w:p>
        </w:tc>
      </w:tr>
    </w:tbl>
    <w:p w14:paraId="09EE03F6" w14:textId="77777777" w:rsidR="00657AE9" w:rsidRDefault="00657AE9" w:rsidP="00916E24">
      <w:pPr>
        <w:suppressAutoHyphens/>
        <w:jc w:val="both"/>
        <w:rPr>
          <w:rFonts w:ascii="Times New Roman" w:hAnsi="Times New Roman"/>
          <w:spacing w:val="-2"/>
          <w:sz w:val="24"/>
        </w:rPr>
      </w:pPr>
    </w:p>
    <w:p w14:paraId="5ED56CBF" w14:textId="7981F702"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DCF9347"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657AE9">
        <w:rPr>
          <w:rFonts w:ascii="Times New Roman" w:hAnsi="Times New Roman"/>
          <w:spacing w:val="-2"/>
          <w:sz w:val="24"/>
        </w:rPr>
        <w:t>February 22</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C130C0">
        <w:rPr>
          <w:rFonts w:ascii="Times New Roman" w:hAnsi="Times New Roman"/>
          <w:spacing w:val="-2"/>
          <w:sz w:val="24"/>
        </w:rPr>
        <w:t>2</w:t>
      </w:r>
      <w:r w:rsidR="00657AE9">
        <w:rPr>
          <w:rFonts w:ascii="Times New Roman" w:hAnsi="Times New Roman"/>
          <w:spacing w:val="-2"/>
          <w:sz w:val="24"/>
        </w:rPr>
        <w:t>2</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6DC72B53"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w:t>
      </w:r>
      <w:r w:rsidR="00756B2A">
        <w:rPr>
          <w:rFonts w:ascii="Times New Roman" w:hAnsi="Times New Roman"/>
          <w:iCs/>
          <w:spacing w:val="-2"/>
          <w:sz w:val="24"/>
        </w:rPr>
        <w:t xml:space="preserve"> and Social Welfare</w:t>
      </w:r>
      <w:r w:rsidRPr="00E6395A">
        <w:rPr>
          <w:rFonts w:ascii="Times New Roman" w:hAnsi="Times New Roman"/>
          <w:iCs/>
          <w:spacing w:val="-2"/>
          <w:sz w:val="24"/>
        </w:rPr>
        <w:t>/Technical Service Unit</w:t>
      </w:r>
    </w:p>
    <w:p w14:paraId="391E9196" w14:textId="3094683A"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lastRenderedPageBreak/>
        <w:t xml:space="preserve">Attention: </w:t>
      </w:r>
      <w:r w:rsidRPr="00E6395A">
        <w:rPr>
          <w:rFonts w:ascii="Times New Roman" w:hAnsi="Times New Roman"/>
          <w:iCs/>
          <w:spacing w:val="-2"/>
          <w:sz w:val="24"/>
          <w:lang w:val="en-GB"/>
        </w:rPr>
        <w:t xml:space="preserve">Mr. Mirko Lješević, </w:t>
      </w:r>
      <w:r w:rsidR="00B534AC">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3B1A" w14:textId="77777777" w:rsidR="00783EE7" w:rsidRDefault="00783EE7">
      <w:r>
        <w:separator/>
      </w:r>
    </w:p>
  </w:endnote>
  <w:endnote w:type="continuationSeparator" w:id="0">
    <w:p w14:paraId="0A4A0300" w14:textId="77777777" w:rsidR="00783EE7" w:rsidRDefault="00783EE7">
      <w:r>
        <w:rPr>
          <w:sz w:val="24"/>
        </w:rPr>
        <w:t xml:space="preserve"> </w:t>
      </w:r>
    </w:p>
  </w:endnote>
  <w:endnote w:type="continuationNotice" w:id="1">
    <w:p w14:paraId="49C377E9" w14:textId="77777777" w:rsidR="00783EE7" w:rsidRDefault="00783E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E48F" w14:textId="77777777" w:rsidR="00783EE7" w:rsidRDefault="00783EE7">
      <w:r>
        <w:rPr>
          <w:sz w:val="24"/>
        </w:rPr>
        <w:separator/>
      </w:r>
    </w:p>
  </w:footnote>
  <w:footnote w:type="continuationSeparator" w:id="0">
    <w:p w14:paraId="17E29021" w14:textId="77777777" w:rsidR="00783EE7" w:rsidRDefault="0078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713"/>
    <w:multiLevelType w:val="hybridMultilevel"/>
    <w:tmpl w:val="C86ED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A5C13"/>
    <w:multiLevelType w:val="hybridMultilevel"/>
    <w:tmpl w:val="0EC2737C"/>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F72FC"/>
    <w:multiLevelType w:val="hybridMultilevel"/>
    <w:tmpl w:val="3BBE366E"/>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6D0558"/>
    <w:multiLevelType w:val="multilevel"/>
    <w:tmpl w:val="100259CE"/>
    <w:lvl w:ilvl="0">
      <w:start w:val="1"/>
      <w:numFmt w:val="decimal"/>
      <w:lvlText w:val="%1."/>
      <w:lvlJc w:val="left"/>
      <w:pPr>
        <w:tabs>
          <w:tab w:val="num" w:pos="840"/>
        </w:tabs>
        <w:ind w:left="840" w:hanging="480"/>
      </w:pPr>
      <w:rPr>
        <w:rFonts w:cs="Times New Roman" w:hint="default"/>
      </w:rPr>
    </w:lvl>
    <w:lvl w:ilvl="1">
      <w:start w:val="1"/>
      <w:numFmt w:val="decimal"/>
      <w:lvlText w:val="%1.%2."/>
      <w:lvlJc w:val="left"/>
      <w:pPr>
        <w:tabs>
          <w:tab w:val="num" w:pos="1430"/>
        </w:tabs>
        <w:ind w:left="1430" w:hanging="720"/>
      </w:pPr>
      <w:rPr>
        <w:rFonts w:cs="Times New Roman"/>
        <w:b/>
        <w:i w:val="0"/>
        <w:caps w:val="0"/>
        <w:color w:val="000000"/>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B7AE3"/>
    <w:multiLevelType w:val="multilevel"/>
    <w:tmpl w:val="3D287D78"/>
    <w:lvl w:ilvl="0">
      <w:start w:val="1"/>
      <w:numFmt w:val="bullet"/>
      <w:lvlText w:val=""/>
      <w:lvlJc w:val="left"/>
      <w:rPr>
        <w:rFonts w:ascii="Symbol" w:hAnsi="Symbol" w:hint="default"/>
      </w:rPr>
    </w:lvl>
    <w:lvl w:ilvl="1">
      <w:start w:val="1"/>
      <w:numFmt w:val="decimal"/>
      <w:lvlText w:val="%1.%2."/>
      <w:lvlJc w:val="left"/>
      <w:pPr>
        <w:tabs>
          <w:tab w:val="num" w:pos="1430"/>
        </w:tabs>
        <w:ind w:left="1430" w:hanging="720"/>
      </w:pPr>
      <w:rPr>
        <w:rFonts w:cs="Times New Roman"/>
        <w:b/>
        <w:i w:val="0"/>
        <w:caps w:val="0"/>
        <w:color w:val="000000"/>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4E043D6B"/>
    <w:multiLevelType w:val="hybridMultilevel"/>
    <w:tmpl w:val="6D527AE6"/>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4F053A80"/>
    <w:multiLevelType w:val="hybridMultilevel"/>
    <w:tmpl w:val="01C43C02"/>
    <w:lvl w:ilvl="0" w:tplc="08090003">
      <w:start w:val="1"/>
      <w:numFmt w:val="bullet"/>
      <w:lvlText w:val="o"/>
      <w:lvlJc w:val="left"/>
      <w:pPr>
        <w:ind w:left="1511" w:hanging="360"/>
      </w:pPr>
      <w:rPr>
        <w:rFonts w:ascii="Courier New" w:hAnsi="Courier New" w:cs="Courier New"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10" w15:restartNumberingAfterBreak="0">
    <w:nsid w:val="5C5D185A"/>
    <w:multiLevelType w:val="hybridMultilevel"/>
    <w:tmpl w:val="CDBC50FC"/>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1" w15:restartNumberingAfterBreak="0">
    <w:nsid w:val="667030A9"/>
    <w:multiLevelType w:val="hybridMultilevel"/>
    <w:tmpl w:val="F75C5144"/>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2"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9657110"/>
    <w:multiLevelType w:val="hybridMultilevel"/>
    <w:tmpl w:val="61B4B316"/>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13"/>
  </w:num>
  <w:num w:numId="2">
    <w:abstractNumId w:val="14"/>
  </w:num>
  <w:num w:numId="3">
    <w:abstractNumId w:val="4"/>
  </w:num>
  <w:num w:numId="4">
    <w:abstractNumId w:val="2"/>
  </w:num>
  <w:num w:numId="5">
    <w:abstractNumId w:val="6"/>
  </w:num>
  <w:num w:numId="6">
    <w:abstractNumId w:val="12"/>
  </w:num>
  <w:num w:numId="7">
    <w:abstractNumId w:val="0"/>
  </w:num>
  <w:num w:numId="8">
    <w:abstractNumId w:val="5"/>
  </w:num>
  <w:num w:numId="9">
    <w:abstractNumId w:val="15"/>
  </w:num>
  <w:num w:numId="10">
    <w:abstractNumId w:val="1"/>
  </w:num>
  <w:num w:numId="11">
    <w:abstractNumId w:val="10"/>
  </w:num>
  <w:num w:numId="12">
    <w:abstractNumId w:val="8"/>
  </w:num>
  <w:num w:numId="13">
    <w:abstractNumId w:val="3"/>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96614"/>
    <w:rsid w:val="001B0D84"/>
    <w:rsid w:val="001C3893"/>
    <w:rsid w:val="001C3BFA"/>
    <w:rsid w:val="001C4752"/>
    <w:rsid w:val="001D70EB"/>
    <w:rsid w:val="00217B47"/>
    <w:rsid w:val="00236807"/>
    <w:rsid w:val="002461A8"/>
    <w:rsid w:val="002727A9"/>
    <w:rsid w:val="00276E66"/>
    <w:rsid w:val="002B2EC7"/>
    <w:rsid w:val="002C3D26"/>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3F92"/>
    <w:rsid w:val="004E721D"/>
    <w:rsid w:val="00561114"/>
    <w:rsid w:val="00593053"/>
    <w:rsid w:val="005A0276"/>
    <w:rsid w:val="005A7A01"/>
    <w:rsid w:val="005C48F5"/>
    <w:rsid w:val="00657AE9"/>
    <w:rsid w:val="00661C9B"/>
    <w:rsid w:val="00684E8F"/>
    <w:rsid w:val="006D6898"/>
    <w:rsid w:val="006F3706"/>
    <w:rsid w:val="00756B2A"/>
    <w:rsid w:val="00770C55"/>
    <w:rsid w:val="00783EE7"/>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13CF4"/>
    <w:rsid w:val="00A27613"/>
    <w:rsid w:val="00A56872"/>
    <w:rsid w:val="00A90DFA"/>
    <w:rsid w:val="00AB71C1"/>
    <w:rsid w:val="00B20153"/>
    <w:rsid w:val="00B27FE8"/>
    <w:rsid w:val="00B3630A"/>
    <w:rsid w:val="00B534AC"/>
    <w:rsid w:val="00B616A8"/>
    <w:rsid w:val="00BA4299"/>
    <w:rsid w:val="00BC1BB9"/>
    <w:rsid w:val="00BD14B2"/>
    <w:rsid w:val="00BD64C7"/>
    <w:rsid w:val="00BD6CBC"/>
    <w:rsid w:val="00BE11E0"/>
    <w:rsid w:val="00C130C0"/>
    <w:rsid w:val="00C2058C"/>
    <w:rsid w:val="00C24DF1"/>
    <w:rsid w:val="00C523ED"/>
    <w:rsid w:val="00C55D76"/>
    <w:rsid w:val="00C70D43"/>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C130C0"/>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4285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27</cp:revision>
  <cp:lastPrinted>2017-08-01T14:35:00Z</cp:lastPrinted>
  <dcterms:created xsi:type="dcterms:W3CDTF">2018-10-23T14:49:00Z</dcterms:created>
  <dcterms:modified xsi:type="dcterms:W3CDTF">2022-02-07T13:13:00Z</dcterms:modified>
</cp:coreProperties>
</file>